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8D5F51"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0"/>
          <w:lang w:eastAsia="pl-PL"/>
        </w:rPr>
        <w:t>D - 07.03</w:t>
      </w:r>
      <w:r w:rsidR="00DC390B" w:rsidRPr="00DC390B">
        <w:rPr>
          <w:rFonts w:ascii="Times New Roman" w:eastAsia="Times New Roman" w:hAnsi="Times New Roman" w:cs="Times New Roman"/>
          <w:b/>
          <w:sz w:val="28"/>
          <w:szCs w:val="20"/>
          <w:lang w:eastAsia="pl-PL"/>
        </w:rPr>
        <w:t>.01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DC390B" w:rsidRPr="00DC390B" w:rsidRDefault="008D5F51"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Pr>
          <w:rFonts w:ascii="Times New Roman" w:eastAsia="Times New Roman" w:hAnsi="Times New Roman" w:cs="Times New Roman"/>
          <w:b/>
          <w:sz w:val="28"/>
          <w:szCs w:val="20"/>
          <w:lang w:eastAsia="pl-PL"/>
        </w:rPr>
        <w:t>OZNAKOWANIE  AKTYWNE</w:t>
      </w:r>
    </w:p>
    <w:p w:rsidR="002007C4" w:rsidRDefault="002007C4"/>
    <w:p w:rsidR="00DC390B" w:rsidRDefault="00DC390B">
      <w:bookmarkStart w:id="0" w:name="_GoBack"/>
      <w:bookmarkEnd w:id="0"/>
    </w:p>
    <w:p w:rsidR="00DC390B" w:rsidRDefault="00DC390B"/>
    <w:p w:rsidR="00DC390B" w:rsidRDefault="00DC390B" w:rsidP="00DC390B">
      <w:pPr>
        <w:rPr>
          <w:b/>
          <w:szCs w:val="24"/>
        </w:rPr>
      </w:pPr>
    </w:p>
    <w:p w:rsidR="00DC390B" w:rsidRDefault="00DC390B" w:rsidP="00DC390B">
      <w:pPr>
        <w:rPr>
          <w:b/>
          <w:szCs w:val="24"/>
        </w:rPr>
      </w:pPr>
    </w:p>
    <w:p w:rsidR="00DC390B" w:rsidRDefault="00DC390B">
      <w:pPr>
        <w:rPr>
          <w:b/>
          <w:szCs w:val="24"/>
        </w:rPr>
      </w:pPr>
      <w:r>
        <w:rPr>
          <w:b/>
          <w:szCs w:val="24"/>
        </w:rPr>
        <w:br w:type="page"/>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1" w:name="_Toc404150096"/>
      <w:bookmarkStart w:id="2" w:name="_Toc416830698"/>
      <w:bookmarkStart w:id="3" w:name="_Toc236626155"/>
      <w:bookmarkStart w:id="4" w:name="_Toc505581984"/>
      <w:r w:rsidRPr="00DC390B">
        <w:rPr>
          <w:rFonts w:ascii="Times New Roman" w:eastAsia="Times New Roman" w:hAnsi="Times New Roman" w:cs="Times New Roman"/>
          <w:b/>
          <w:caps/>
          <w:kern w:val="28"/>
          <w:sz w:val="24"/>
          <w:szCs w:val="24"/>
          <w:lang w:eastAsia="pl-PL"/>
        </w:rPr>
        <w:lastRenderedPageBreak/>
        <w:t xml:space="preserve">1. </w:t>
      </w:r>
      <w:bookmarkEnd w:id="1"/>
      <w:bookmarkEnd w:id="2"/>
      <w:bookmarkEnd w:id="3"/>
      <w:r w:rsidRPr="00DC390B">
        <w:rPr>
          <w:rFonts w:ascii="Times New Roman" w:eastAsia="Times New Roman" w:hAnsi="Times New Roman" w:cs="Times New Roman"/>
          <w:b/>
          <w:caps/>
          <w:kern w:val="28"/>
          <w:sz w:val="24"/>
          <w:szCs w:val="24"/>
          <w:lang w:eastAsia="pl-PL"/>
        </w:rPr>
        <w:t>Wstęp</w:t>
      </w:r>
      <w:bookmarkEnd w:id="4"/>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5" w:name="_Toc405615031"/>
      <w:bookmarkStart w:id="6"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5"/>
      <w:bookmarkEnd w:id="6"/>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7" w:name="_Toc405615032"/>
      <w:bookmarkStart w:id="8"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7"/>
      <w:bookmarkEnd w:id="8"/>
    </w:p>
    <w:p w:rsidR="00DC390B" w:rsidRPr="008D5D3F" w:rsidRDefault="00DC390B" w:rsidP="00827955">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i/>
          <w:sz w:val="24"/>
          <w:szCs w:val="24"/>
          <w:lang w:eastAsia="pl-PL"/>
        </w:rPr>
      </w:pPr>
      <w:r w:rsidRPr="00DC390B">
        <w:rPr>
          <w:rFonts w:ascii="Times New Roman" w:eastAsia="Times New Roman" w:hAnsi="Times New Roman" w:cs="Times New Roman"/>
          <w:sz w:val="24"/>
          <w:szCs w:val="20"/>
          <w:lang w:eastAsia="pl-PL"/>
        </w:rPr>
        <w:tab/>
      </w:r>
      <w:r w:rsidR="00827955" w:rsidRPr="00827955">
        <w:rPr>
          <w:rFonts w:ascii="Times New Roman" w:eastAsia="Times New Roman" w:hAnsi="Times New Roman" w:cs="Times New Roman"/>
          <w:sz w:val="24"/>
          <w:szCs w:val="20"/>
          <w:lang w:eastAsia="pl-PL"/>
        </w:rPr>
        <w:t>Szczegółowa specyfikacja techniczna (SST) stanowi dokument przetargowy i kontraktowy przy zlecaniu i realizacji zadania pn.:</w:t>
      </w:r>
      <w:r w:rsidR="00827955" w:rsidRPr="00827955">
        <w:rPr>
          <w:rFonts w:ascii="Times New Roman" w:eastAsia="Times New Roman" w:hAnsi="Times New Roman" w:cs="Times New Roman"/>
          <w:b/>
          <w:sz w:val="24"/>
          <w:szCs w:val="20"/>
          <w:lang w:eastAsia="pl-PL"/>
        </w:rPr>
        <w:t xml:space="preserve"> „Budowa przejścia dla pieszych wraz z infrastrukturą towarzyszącą w m. Krzeszów ”.</w:t>
      </w:r>
      <w:r w:rsidR="00827955" w:rsidRPr="00827955">
        <w:rPr>
          <w:rFonts w:ascii="Times New Roman" w:eastAsia="Times New Roman" w:hAnsi="Times New Roman" w:cs="Times New Roman"/>
          <w:b/>
          <w:bCs/>
          <w:sz w:val="24"/>
          <w:szCs w:val="20"/>
          <w:lang w:eastAsia="pl-PL"/>
        </w:rPr>
        <w:t xml:space="preserve">  </w:t>
      </w:r>
    </w:p>
    <w:p w:rsid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9" w:name="_Toc405615033"/>
      <w:bookmarkStart w:id="10"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9"/>
      <w:bookmarkEnd w:id="10"/>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w:t>
      </w:r>
      <w:r w:rsidRPr="00DC390B">
        <w:rPr>
          <w:rFonts w:ascii="Times New Roman" w:eastAsia="Times New Roman" w:hAnsi="Times New Roman" w:cs="Times New Roman"/>
          <w:sz w:val="24"/>
          <w:szCs w:val="20"/>
          <w:lang w:eastAsia="pl-PL"/>
        </w:rPr>
        <w:lastRenderedPageBreak/>
        <w:t>ochronnymi zapewniającymi jakość i trwałość wykonanego znaku, z płyty warstwowej lub z innego materiału zapewniającego odpowiednią do przeznaczenia trwałość.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505581985"/>
      <w:r w:rsidRPr="00DC390B">
        <w:rPr>
          <w:rFonts w:ascii="Times New Roman" w:eastAsia="Times New Roman" w:hAnsi="Times New Roman" w:cs="Times New Roman"/>
          <w:b/>
          <w:caps/>
          <w:kern w:val="28"/>
          <w:sz w:val="24"/>
          <w:szCs w:val="20"/>
          <w:lang w:eastAsia="pl-PL"/>
        </w:rPr>
        <w:t>2. Materiały</w:t>
      </w:r>
      <w:bookmarkEnd w:id="1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Jeśli wyrób budowlany jest zgodny z wydaną dla niego krajową oceną techniczną, producent może sporządzić krajową deklarację właściwości użytkowych, oznakować wyrób </w:t>
      </w:r>
      <w:r w:rsidRPr="00DC390B">
        <w:rPr>
          <w:rFonts w:ascii="Times New Roman" w:eastAsia="Times New Roman" w:hAnsi="Times New Roman" w:cs="Times New Roman"/>
          <w:sz w:val="24"/>
          <w:szCs w:val="20"/>
          <w:lang w:eastAsia="pl-PL"/>
        </w:rPr>
        <w:lastRenderedPageBreak/>
        <w:t xml:space="preserve">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Długości słupków, na których montowane są znaki przyjmowane są w oparciu o wymagania techniczne dla znaków drogowych [19] przy zagłębieniu w gruncie do 80 cm. W części dolnej słupka powinna być kotwa, która po zabetonowaniu uniemożliwia obracanie lub wyciągnięcie słupka. Na każdym słupku należy zamontować zaślepkę zapobiegającą gromadzeniu się wody wewnątrz profilu.</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Do zamocowania tarczy znaku do konstrukcji wsporczej stosowane są dwie metody:</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pokrytych od strony zewnętrznej ochronną powłoka lakierniczą o grubości min. 25 µm oraz z płyty styropianowej w gatunku min. EPS </w:t>
      </w:r>
      <w:r w:rsidRPr="00DC390B">
        <w:rPr>
          <w:rFonts w:ascii="Times New Roman" w:eastAsia="Times New Roman" w:hAnsi="Times New Roman" w:cs="Times New Roman"/>
          <w:sz w:val="24"/>
          <w:szCs w:val="20"/>
          <w:lang w:eastAsia="pl-PL"/>
        </w:rPr>
        <w:lastRenderedPageBreak/>
        <w:t>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rsidTr="00E75F6D">
        <w:trPr>
          <w:jc w:val="center"/>
        </w:trPr>
        <w:tc>
          <w:tcPr>
            <w:tcW w:w="2843"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z wysokości 220 mm</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Badanie trwałości na wpływ warunków </w:t>
            </w:r>
            <w:r w:rsidRPr="00DC390B">
              <w:rPr>
                <w:rFonts w:ascii="Times New Roman" w:eastAsia="Times New Roman" w:hAnsi="Times New Roman" w:cs="Times New Roman"/>
                <w:sz w:val="24"/>
                <w:szCs w:val="24"/>
                <w:lang w:eastAsia="pl-PL"/>
              </w:rPr>
              <w:lastRenderedPageBreak/>
              <w:t>pogodowych</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w:t>
            </w:r>
            <w:r w:rsidRPr="00DC390B">
              <w:rPr>
                <w:rFonts w:ascii="Times New Roman" w:eastAsia="Times New Roman" w:hAnsi="Times New Roman" w:cs="Times New Roman"/>
                <w:sz w:val="20"/>
                <w:szCs w:val="20"/>
                <w:lang w:eastAsia="pl-PL"/>
              </w:rPr>
              <w:lastRenderedPageBreak/>
              <w:t xml:space="preserve">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lastRenderedPageBreak/>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łączenie poszczególnych segmentów tarczy (dla znaków wielkopowierzchniowych) wzdłuż poziomej lub pionowej krawędzi  powinno być wykonane w taki sposób, aby nie występowały przesunięcia i prześwity w miejscach ich łączenia.</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transparentny druk sitowy,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w:t>
      </w:r>
      <w:r w:rsidRPr="00DC390B">
        <w:rPr>
          <w:rFonts w:ascii="Times New Roman" w:eastAsia="Times New Roman" w:hAnsi="Times New Roman" w:cs="Times New Roman"/>
          <w:sz w:val="24"/>
          <w:szCs w:val="20"/>
          <w:lang w:eastAsia="pl-PL"/>
        </w:rPr>
        <w:lastRenderedPageBreak/>
        <w:t xml:space="preserve">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double" w:sz="4" w:space="0" w:color="auto"/>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rsidTr="00E75F6D">
        <w:tc>
          <w:tcPr>
            <w:tcW w:w="1360" w:type="dxa"/>
            <w:tcBorders>
              <w:top w:val="single" w:sz="4" w:space="0" w:color="auto"/>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rsidTr="00E75F6D">
        <w:tc>
          <w:tcPr>
            <w:tcW w:w="1360" w:type="dxa"/>
            <w:tcBorders>
              <w:top w:val="single" w:sz="4" w:space="0" w:color="000000"/>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single" w:sz="4" w:space="0" w:color="000000"/>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rsidTr="00E75F6D">
        <w:trPr>
          <w:tblHeader/>
        </w:trPr>
        <w:tc>
          <w:tcPr>
            <w:tcW w:w="2835" w:type="dxa"/>
            <w:gridSpan w:val="2"/>
            <w:tcBorders>
              <w:top w:val="single" w:sz="8" w:space="0" w:color="auto"/>
              <w:left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Geometria pomiarów</w:t>
            </w:r>
          </w:p>
        </w:tc>
        <w:tc>
          <w:tcPr>
            <w:tcW w:w="5949" w:type="dxa"/>
            <w:gridSpan w:val="6"/>
            <w:tcBorders>
              <w:top w:val="single" w:sz="8" w:space="0" w:color="auto"/>
              <w:left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rsidTr="00E75F6D">
        <w:tc>
          <w:tcPr>
            <w:tcW w:w="1418" w:type="dxa"/>
            <w:tcBorders>
              <w:left w:val="single" w:sz="8"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c>
          <w:tcPr>
            <w:tcW w:w="1134"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 pomarań</w:t>
            </w:r>
            <w:r w:rsidRPr="00DC390B">
              <w:rPr>
                <w:rFonts w:ascii="Times New Roman" w:eastAsia="Times New Roman" w:hAnsi="Times New Roman" w:cs="Times New Roman"/>
                <w:sz w:val="24"/>
                <w:szCs w:val="24"/>
                <w:lang w:eastAsia="pl-PL"/>
              </w:rPr>
              <w:lastRenderedPageBreak/>
              <w:t>czowa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ka</w:t>
            </w:r>
          </w:p>
        </w:tc>
        <w:tc>
          <w:tcPr>
            <w:tcW w:w="988" w:type="dxa"/>
            <w:tcBorders>
              <w:bottom w:val="doub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r>
      <w:tr w:rsidR="00DC390B" w:rsidRPr="00DC390B" w:rsidTr="00E75F6D">
        <w:tc>
          <w:tcPr>
            <w:tcW w:w="1418" w:type="dxa"/>
            <w:tcBorders>
              <w:top w:val="double" w:sz="4" w:space="0" w:color="auto"/>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0,1</w:t>
            </w:r>
          </w:p>
        </w:tc>
        <w:tc>
          <w:tcPr>
            <w:tcW w:w="1417" w:type="dxa"/>
            <w:tcBorders>
              <w:top w:val="doub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rsidTr="00E75F6D">
        <w:tc>
          <w:tcPr>
            <w:tcW w:w="1418" w:type="dxa"/>
            <w:tcBorders>
              <w:top w:val="single" w:sz="6"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rsidTr="00E75F6D">
        <w:tc>
          <w:tcPr>
            <w:tcW w:w="1418" w:type="dxa"/>
            <w:tcBorders>
              <w:top w:val="single" w:sz="6" w:space="0" w:color="auto"/>
              <w:left w:val="single" w:sz="8"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top w:val="single" w:sz="4"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2" w:name="_Toc421265225"/>
      <w:bookmarkStart w:id="13" w:name="_Toc421265488"/>
      <w:r w:rsidRPr="00DC390B">
        <w:rPr>
          <w:rFonts w:ascii="Times New Roman" w:eastAsia="Times New Roman" w:hAnsi="Times New Roman" w:cs="Times New Roman"/>
          <w:sz w:val="24"/>
          <w:szCs w:val="20"/>
          <w:lang w:eastAsia="pl-PL"/>
        </w:rPr>
        <w:t>Tablica 5. Klasyfikacja folii odblaskowych</w:t>
      </w:r>
      <w:bookmarkEnd w:id="12"/>
      <w:bookmarkEnd w:id="13"/>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rsidTr="00E75F6D">
        <w:trPr>
          <w:tblHeader/>
        </w:trPr>
        <w:tc>
          <w:tcPr>
            <w:tcW w:w="709" w:type="dxa"/>
            <w:tcBorders>
              <w:top w:val="single" w:sz="4" w:space="0" w:color="auto"/>
              <w:left w:val="single" w:sz="4" w:space="0" w:color="auto"/>
              <w:bottom w:val="doub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709"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rsidTr="00E75F6D">
        <w:tc>
          <w:tcPr>
            <w:tcW w:w="709"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rsidTr="00E75F6D">
        <w:tc>
          <w:tcPr>
            <w:tcW w:w="709"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w:t>
      </w:r>
      <w:r w:rsidRPr="00DC390B">
        <w:rPr>
          <w:rFonts w:ascii="Times New Roman" w:eastAsia="Times New Roman" w:hAnsi="Times New Roman" w:cs="Times New Roman"/>
          <w:sz w:val="24"/>
          <w:szCs w:val="20"/>
          <w:lang w:eastAsia="pl-PL"/>
        </w:rPr>
        <w:lastRenderedPageBreak/>
        <w:t xml:space="preserve">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rsidTr="00E75F6D">
        <w:trPr>
          <w:trHeight w:val="361"/>
          <w:jc w:val="center"/>
        </w:trPr>
        <w:tc>
          <w:tcPr>
            <w:tcW w:w="1340"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rsidTr="00E75F6D">
        <w:trPr>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rsidTr="00E75F6D">
        <w:trPr>
          <w:trHeight w:val="921"/>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rsidTr="00E75F6D">
        <w:trPr>
          <w:trHeight w:val="558"/>
          <w:jc w:val="center"/>
        </w:trPr>
        <w:tc>
          <w:tcPr>
            <w:tcW w:w="1340" w:type="dxa"/>
            <w:vMerge w:val="restart"/>
          </w:tcPr>
          <w:p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jc w:val="center"/>
        </w:trPr>
        <w:tc>
          <w:tcPr>
            <w:tcW w:w="1340" w:type="dxa"/>
            <w:vMerge/>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trHeight w:val="537"/>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42"/>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rsidTr="00E75F6D">
        <w:trPr>
          <w:trHeight w:val="52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Roboty na drodze</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0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rsidTr="00E75F6D">
        <w:trPr>
          <w:tblHeade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Biała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Żółta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rsidTr="00E75F6D">
        <w:tc>
          <w:tcPr>
            <w:tcW w:w="1770"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Lico znaku powinno być tak wykonane, aby nie występowały niedokładności w postaci pęcherzy, pęknięć itp. Niedopuszczalne są lokalne nierówności oraz cząstki mechaniczne zatopione w warstwie podświetlanej.</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2.9. Znaki oświetlane</w:t>
      </w:r>
    </w:p>
    <w:p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w:t>
      </w:r>
      <w:r w:rsidRPr="00DC390B">
        <w:rPr>
          <w:rFonts w:ascii="Times New Roman" w:eastAsia="Times New Roman" w:hAnsi="Times New Roman" w:cs="Times New Roman"/>
          <w:sz w:val="24"/>
          <w:szCs w:val="20"/>
          <w:lang w:eastAsia="pl-PL"/>
        </w:rPr>
        <w:lastRenderedPageBreak/>
        <w:t>do określenia tych poziomów minimalnych powinien być poziom IP podany w wymaganiach klienta lub nabywcy. Zaleca się, aby oprawa była zbudowana jako zamknięta, o stopniu ochrony IP-65 dla komory lampowej i co najmniej IP-23 dla komory statecznika wg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Alternatywnym źródłem prądu mogą być :</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2.12. Przechowywanie i składowanie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6"/>
      <w:r w:rsidRPr="00DC390B">
        <w:rPr>
          <w:rFonts w:ascii="Times New Roman" w:eastAsia="Times New Roman" w:hAnsi="Times New Roman" w:cs="Times New Roman"/>
          <w:b/>
          <w:caps/>
          <w:kern w:val="28"/>
          <w:sz w:val="24"/>
          <w:szCs w:val="20"/>
          <w:lang w:eastAsia="pl-PL"/>
        </w:rPr>
        <w:t>3. Sprzęt</w:t>
      </w:r>
      <w:bookmarkEnd w:id="14"/>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7"/>
      <w:r w:rsidRPr="00DC390B">
        <w:rPr>
          <w:rFonts w:ascii="Times New Roman" w:eastAsia="Times New Roman" w:hAnsi="Times New Roman" w:cs="Times New Roman"/>
          <w:b/>
          <w:caps/>
          <w:kern w:val="28"/>
          <w:sz w:val="24"/>
          <w:szCs w:val="20"/>
          <w:lang w:eastAsia="pl-PL"/>
        </w:rPr>
        <w:t>4. Transport</w:t>
      </w:r>
      <w:bookmarkEnd w:id="15"/>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8"/>
      <w:r w:rsidRPr="00DC390B">
        <w:rPr>
          <w:rFonts w:ascii="Times New Roman" w:eastAsia="Times New Roman" w:hAnsi="Times New Roman" w:cs="Times New Roman"/>
          <w:b/>
          <w:caps/>
          <w:kern w:val="28"/>
          <w:sz w:val="24"/>
          <w:szCs w:val="20"/>
          <w:lang w:eastAsia="pl-PL"/>
        </w:rPr>
        <w:lastRenderedPageBreak/>
        <w:t>5. Wykonanie robót</w:t>
      </w:r>
      <w:bookmarkEnd w:id="16"/>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w:t>
      </w:r>
      <w:r w:rsidRPr="00DC390B">
        <w:rPr>
          <w:rFonts w:ascii="Times New Roman" w:eastAsia="Times New Roman" w:hAnsi="Times New Roman" w:cs="Times New Roman"/>
          <w:sz w:val="24"/>
          <w:szCs w:val="20"/>
          <w:lang w:eastAsia="pl-PL"/>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89"/>
      <w:r w:rsidRPr="00DC390B">
        <w:rPr>
          <w:rFonts w:ascii="Times New Roman" w:eastAsia="Times New Roman" w:hAnsi="Times New Roman" w:cs="Times New Roman"/>
          <w:b/>
          <w:caps/>
          <w:kern w:val="28"/>
          <w:sz w:val="24"/>
          <w:szCs w:val="20"/>
          <w:lang w:eastAsia="pl-PL"/>
        </w:rPr>
        <w:t>6. Kontrola jakości robót</w:t>
      </w:r>
      <w:bookmarkEnd w:id="17"/>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 Badania w czasie wykonywania robót</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Wykonawca powinien przeprowadzić badania materiałów do wykonania fundamentów betonowych „na mokro”. Uwzględniając nieskomplikowany charakter robót </w:t>
      </w:r>
      <w:r w:rsidRPr="00DC390B">
        <w:rPr>
          <w:rFonts w:ascii="Times New Roman" w:eastAsia="Times New Roman" w:hAnsi="Times New Roman" w:cs="Times New Roman"/>
          <w:sz w:val="24"/>
          <w:szCs w:val="20"/>
          <w:lang w:eastAsia="pl-PL"/>
        </w:rPr>
        <w:lastRenderedPageBreak/>
        <w:t>fundamentowych, na wniosek Wykonawcy, Inżynier może zwolnić go z potrzeby wykonania badań materiałów dla tych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rsidTr="00E75F6D">
        <w:tc>
          <w:tcPr>
            <w:tcW w:w="567"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rsidTr="00E75F6D">
        <w:trPr>
          <w:cantSplit/>
        </w:trPr>
        <w:tc>
          <w:tcPr>
            <w:tcW w:w="567"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rsidTr="00E75F6D">
        <w:trPr>
          <w:cantSplit/>
        </w:trPr>
        <w:tc>
          <w:tcPr>
            <w:tcW w:w="567"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wykonania znaków pionowych z dokumentacją projektową (lokalizacja, wymiary znaków, wysokość zamocowania znaków),</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poprawność ustawienia słupków i konstrukcji wsporczych, zgodnie z punktem 5.4,</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0"/>
      <w:r w:rsidRPr="00DC390B">
        <w:rPr>
          <w:rFonts w:ascii="Times New Roman" w:eastAsia="Times New Roman" w:hAnsi="Times New Roman" w:cs="Times New Roman"/>
          <w:b/>
          <w:caps/>
          <w:kern w:val="28"/>
          <w:sz w:val="24"/>
          <w:szCs w:val="20"/>
          <w:lang w:eastAsia="pl-PL"/>
        </w:rPr>
        <w:t>7. Obmiar robót</w:t>
      </w:r>
      <w:bookmarkEnd w:id="18"/>
    </w:p>
    <w:p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1"/>
      <w:r w:rsidRPr="00DC390B">
        <w:rPr>
          <w:rFonts w:ascii="Times New Roman" w:eastAsia="Times New Roman" w:hAnsi="Times New Roman" w:cs="Times New Roman"/>
          <w:b/>
          <w:caps/>
          <w:kern w:val="28"/>
          <w:sz w:val="24"/>
          <w:szCs w:val="20"/>
          <w:lang w:eastAsia="pl-PL"/>
        </w:rPr>
        <w:t>8. Odbiór robót</w:t>
      </w:r>
      <w:bookmarkEnd w:id="19"/>
    </w:p>
    <w:p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8.3. Odbiór pogwarancyjny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Odbiór pogwarancyjny zaleca się przeprowadzić w ciągu 1 miesiąca po upływie okresu gwarancyjnego, ustalonego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2"/>
      <w:r w:rsidRPr="00DC390B">
        <w:rPr>
          <w:rFonts w:ascii="Times New Roman" w:eastAsia="Times New Roman" w:hAnsi="Times New Roman" w:cs="Times New Roman"/>
          <w:b/>
          <w:caps/>
          <w:kern w:val="28"/>
          <w:sz w:val="24"/>
          <w:szCs w:val="20"/>
          <w:lang w:eastAsia="pl-PL"/>
        </w:rPr>
        <w:t>9. Podstawa płatności</w:t>
      </w:r>
      <w:bookmarkEnd w:id="20"/>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1" w:name="_Toc505581993"/>
      <w:r w:rsidRPr="00DC390B">
        <w:rPr>
          <w:rFonts w:ascii="Times New Roman" w:eastAsia="Times New Roman" w:hAnsi="Times New Roman" w:cs="Times New Roman"/>
          <w:b/>
          <w:caps/>
          <w:kern w:val="28"/>
          <w:sz w:val="24"/>
          <w:szCs w:val="20"/>
          <w:lang w:eastAsia="pl-PL"/>
        </w:rPr>
        <w:t>10. Przepisy związane</w:t>
      </w:r>
      <w:bookmarkEnd w:id="2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folie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0B"/>
    <w:rsid w:val="002007C4"/>
    <w:rsid w:val="006117F5"/>
    <w:rsid w:val="00827955"/>
    <w:rsid w:val="008D5F51"/>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9388</Words>
  <Characters>56334</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2021-03-18T12:42:00Z</cp:lastPrinted>
  <dcterms:created xsi:type="dcterms:W3CDTF">2021-03-18T11:07:00Z</dcterms:created>
  <dcterms:modified xsi:type="dcterms:W3CDTF">2021-09-07T09:27:00Z</dcterms:modified>
</cp:coreProperties>
</file>